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25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733165" cy="1562720"/>
                <wp:effectExtent b="0" l="0" r="0" t="0"/>
                <wp:docPr id="12607295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September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April 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2024 - 7:00pm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733165" cy="1562720"/>
                <wp:effectExtent b="0" l="0" r="0" t="0"/>
                <wp:docPr id="12607295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165" cy="15627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Approval of Prior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42424"/>
          <w:sz w:val="24"/>
          <w:szCs w:val="24"/>
          <w:u w:val="single"/>
          <w:rtl w:val="0"/>
        </w:rPr>
        <w:t xml:space="preserve">Old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0" w:firstLine="0"/>
        <w:rPr>
          <w:rFonts w:ascii="Garamond" w:cs="Garamond" w:eastAsia="Garamond" w:hAnsi="Garamond"/>
          <w:color w:val="242424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Equipment purchase request.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Registrar Report.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Registration open date/close date.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Registration after 7/31 - $150?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Team rosters/registration.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Announce teams in August.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CEP requirements.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NYSAHA Code of  Conduct.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0" w:firstLine="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E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May 4th at 7pm.</w:t>
      </w:r>
    </w:p>
    <w:p w:rsidR="00000000" w:rsidDel="00000000" w:rsidP="00000000" w:rsidRDefault="00000000" w:rsidRPr="00000000" w14:paraId="00000020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1IZT4wnWGXy65e7pnilGB7DnfQ==">CgMxLjA4AHIhMWZLS1pIdnZQT3ZXaGNCdERwQ0FqY21taUFnMHZNWkxE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