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89EC0" w14:textId="77777777" w:rsidR="00E93858" w:rsidRDefault="00E93858" w:rsidP="00E93858">
      <w:pPr>
        <w:pStyle w:val="Head1"/>
        <w:rPr>
          <w:rFonts w:ascii="Corbel" w:hAnsi="Corbel"/>
        </w:rPr>
      </w:pPr>
      <w:r>
        <w:rPr>
          <w:rFonts w:ascii="Corbel" w:hAnsi="Corbel"/>
        </w:rPr>
        <w:t>Bloomington Youth Hockey, Inc.</w:t>
      </w:r>
    </w:p>
    <w:p w14:paraId="30341C31" w14:textId="29A7607C" w:rsidR="004A0D9C" w:rsidRPr="00E93858" w:rsidRDefault="00765C01" w:rsidP="00E93858">
      <w:pPr>
        <w:pStyle w:val="PageHead"/>
        <w:spacing w:before="240" w:after="240"/>
        <w:rPr>
          <w:rFonts w:ascii="Corbel" w:hAnsi="Corbel"/>
          <w:sz w:val="24"/>
          <w:szCs w:val="24"/>
        </w:rPr>
      </w:pPr>
      <w:r>
        <w:rPr>
          <w:rFonts w:ascii="Corbel" w:eastAsia="MS Mincho" w:hAnsi="Corbel"/>
          <w:sz w:val="24"/>
          <w:szCs w:val="24"/>
        </w:rPr>
        <w:t>DOCUMENT RETENTION AND DESTRUCTION POLICY</w:t>
      </w:r>
    </w:p>
    <w:p w14:paraId="244C05CA" w14:textId="77777777" w:rsidR="004A0D9C" w:rsidRPr="00E93858" w:rsidRDefault="004A0D9C">
      <w:pPr>
        <w:pStyle w:val="Text"/>
        <w:spacing w:before="0"/>
        <w:rPr>
          <w:rFonts w:ascii="Corbel" w:hAnsi="Corbe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CellMar>
          <w:left w:w="0" w:type="dxa"/>
          <w:right w:w="0" w:type="dxa"/>
        </w:tblCellMar>
        <w:tblLook w:val="01E0" w:firstRow="1" w:lastRow="1" w:firstColumn="1" w:lastColumn="1" w:noHBand="0" w:noVBand="0"/>
      </w:tblPr>
      <w:tblGrid>
        <w:gridCol w:w="9330"/>
      </w:tblGrid>
      <w:tr w:rsidR="004A0D9C" w:rsidRPr="00E93858" w14:paraId="38142AE7" w14:textId="77777777">
        <w:tc>
          <w:tcPr>
            <w:tcW w:w="9360" w:type="dxa"/>
            <w:shd w:val="clear" w:color="auto" w:fill="D9D9D9"/>
          </w:tcPr>
          <w:p w14:paraId="1386DE8B" w14:textId="38B0C753" w:rsidR="004A0D9C" w:rsidRPr="00E93858" w:rsidRDefault="009158E4">
            <w:pPr>
              <w:pStyle w:val="Text"/>
              <w:spacing w:before="60" w:after="60" w:line="320" w:lineRule="exact"/>
              <w:ind w:left="120" w:right="120"/>
              <w:rPr>
                <w:rFonts w:ascii="Corbel" w:hAnsi="Corbel"/>
              </w:rPr>
            </w:pPr>
            <w:r w:rsidRPr="00E93858">
              <w:rPr>
                <w:rFonts w:ascii="Corbel" w:eastAsia="MS Mincho" w:hAnsi="Corbel"/>
                <w:b/>
                <w:bCs/>
              </w:rPr>
              <w:t xml:space="preserve">PURPOSE OF THIS </w:t>
            </w:r>
            <w:r w:rsidR="00765C01">
              <w:rPr>
                <w:rFonts w:ascii="Corbel" w:eastAsia="MS Mincho" w:hAnsi="Corbel"/>
                <w:b/>
                <w:bCs/>
              </w:rPr>
              <w:t>POLICY</w:t>
            </w:r>
            <w:r w:rsidRPr="00E93858">
              <w:rPr>
                <w:rFonts w:ascii="Corbel" w:eastAsia="MS Mincho" w:hAnsi="Corbel"/>
                <w:b/>
                <w:bCs/>
              </w:rPr>
              <w:t>:</w:t>
            </w:r>
            <w:r w:rsidRPr="00E93858">
              <w:rPr>
                <w:rFonts w:ascii="Corbel" w:eastAsia="MS Mincho" w:hAnsi="Corbel"/>
              </w:rPr>
              <w:t xml:space="preserve"> Certain federal laws prohibit the destruction of certain documents. Not-for-profit organizations should have a written, mandatory document retention and periodic destruction policy. Policies such as this will eliminate accidental or innocent destruction. In addition, it is important for administrative personnel to know the length of time records should be retained to be in compliance. </w:t>
            </w:r>
          </w:p>
        </w:tc>
      </w:tr>
    </w:tbl>
    <w:p w14:paraId="78BEA06E" w14:textId="77777777" w:rsidR="004A0D9C" w:rsidRPr="00E93858" w:rsidRDefault="009158E4">
      <w:pPr>
        <w:pStyle w:val="AHead"/>
        <w:rPr>
          <w:rFonts w:ascii="Corbel" w:eastAsia="MS Mincho" w:hAnsi="Corbel"/>
        </w:rPr>
      </w:pPr>
      <w:r w:rsidRPr="00E93858">
        <w:rPr>
          <w:rFonts w:ascii="Corbel" w:eastAsia="MS Mincho" w:hAnsi="Corbel"/>
        </w:rPr>
        <w:t>Document Destruction</w:t>
      </w:r>
    </w:p>
    <w:p w14:paraId="441D84DC" w14:textId="4B5DC7C1" w:rsidR="004A0D9C" w:rsidRPr="00E93858" w:rsidRDefault="009158E4">
      <w:pPr>
        <w:pStyle w:val="Text"/>
        <w:spacing w:before="0"/>
        <w:rPr>
          <w:rFonts w:ascii="Corbel" w:eastAsia="MS Mincho" w:hAnsi="Corbel"/>
        </w:rPr>
      </w:pPr>
      <w:r w:rsidRPr="00E93858">
        <w:rPr>
          <w:rFonts w:ascii="Corbel" w:eastAsia="MS Mincho" w:hAnsi="Corbel"/>
        </w:rPr>
        <w:t xml:space="preserve">The Document Retention and Destruction Policy identifies the record retention responsibilities of </w:t>
      </w:r>
      <w:r w:rsidR="00E93858">
        <w:rPr>
          <w:rFonts w:ascii="Corbel" w:eastAsia="MS Mincho" w:hAnsi="Corbel"/>
        </w:rPr>
        <w:t xml:space="preserve">staff, </w:t>
      </w:r>
      <w:r w:rsidRPr="00E93858">
        <w:rPr>
          <w:rFonts w:ascii="Corbel" w:eastAsia="MS Mincho" w:hAnsi="Corbel"/>
        </w:rPr>
        <w:t xml:space="preserve">volunteers, </w:t>
      </w:r>
      <w:r w:rsidR="004A137D" w:rsidRPr="00E93858">
        <w:rPr>
          <w:rFonts w:ascii="Corbel" w:eastAsia="MS Mincho" w:hAnsi="Corbel"/>
        </w:rPr>
        <w:t xml:space="preserve">members of the board of directors, </w:t>
      </w:r>
      <w:r w:rsidR="004A137D">
        <w:rPr>
          <w:rFonts w:ascii="Corbel" w:eastAsia="MS Mincho" w:hAnsi="Corbel"/>
        </w:rPr>
        <w:t xml:space="preserve">committee members </w:t>
      </w:r>
      <w:r w:rsidRPr="00E93858">
        <w:rPr>
          <w:rFonts w:ascii="Corbel" w:eastAsia="MS Mincho" w:hAnsi="Corbel"/>
        </w:rPr>
        <w:t>and outsiders</w:t>
      </w:r>
      <w:r w:rsidR="004A137D">
        <w:rPr>
          <w:rFonts w:ascii="Corbel" w:eastAsia="MS Mincho" w:hAnsi="Corbel"/>
        </w:rPr>
        <w:t xml:space="preserve"> </w:t>
      </w:r>
      <w:r w:rsidR="004A137D" w:rsidRPr="00E93858">
        <w:rPr>
          <w:rFonts w:ascii="Corbel" w:eastAsia="MS Mincho" w:hAnsi="Corbel"/>
        </w:rPr>
        <w:t xml:space="preserve">(independent contractors via agreements with them) </w:t>
      </w:r>
      <w:r w:rsidRPr="00E93858">
        <w:rPr>
          <w:rFonts w:ascii="Corbel" w:eastAsia="MS Mincho" w:hAnsi="Corbel"/>
        </w:rPr>
        <w:t xml:space="preserve">for maintaining and documenting the storage and destruction of the organization’s documents and records. </w:t>
      </w:r>
    </w:p>
    <w:p w14:paraId="3B7ED127" w14:textId="07D15A29" w:rsidR="004A0D9C" w:rsidRPr="00E93858" w:rsidRDefault="009158E4">
      <w:pPr>
        <w:pStyle w:val="Text"/>
        <w:rPr>
          <w:rFonts w:ascii="Corbel" w:eastAsia="MS Mincho" w:hAnsi="Corbel"/>
        </w:rPr>
      </w:pPr>
      <w:r w:rsidRPr="00E93858">
        <w:rPr>
          <w:rFonts w:ascii="Corbel" w:eastAsia="MS Mincho" w:hAnsi="Corbel"/>
        </w:rPr>
        <w:t xml:space="preserve">The organization’s staff, volunteers, members of the board of directors, committee members and outsiders are required to honor the following rules: </w:t>
      </w:r>
    </w:p>
    <w:p w14:paraId="0B2A87DC" w14:textId="2222E0B6" w:rsidR="004A0D9C" w:rsidRPr="00E93858" w:rsidRDefault="009158E4">
      <w:pPr>
        <w:pStyle w:val="NumberList"/>
        <w:spacing w:before="240"/>
        <w:rPr>
          <w:rFonts w:ascii="Corbel" w:eastAsia="MS Mincho" w:hAnsi="Corbel"/>
        </w:rPr>
      </w:pPr>
      <w:r w:rsidRPr="00E93858">
        <w:rPr>
          <w:rFonts w:ascii="Corbel" w:eastAsia="MS Mincho" w:hAnsi="Corbel"/>
          <w:i/>
        </w:rPr>
        <w:t>a.</w:t>
      </w:r>
      <w:r w:rsidRPr="00E93858">
        <w:rPr>
          <w:rFonts w:ascii="Corbel" w:eastAsia="MS Mincho" w:hAnsi="Corbel"/>
        </w:rPr>
        <w:tab/>
        <w:t>Paper or electronic documents indicated under the terms for retention in the following section will be transferred and maintained by (</w:t>
      </w:r>
      <w:r w:rsidR="006B2E85">
        <w:rPr>
          <w:rFonts w:ascii="Corbel" w:eastAsia="MS Mincho" w:hAnsi="Corbel"/>
        </w:rPr>
        <w:t>the treasurer</w:t>
      </w:r>
      <w:r w:rsidR="007E1679">
        <w:rPr>
          <w:rFonts w:ascii="Corbel" w:eastAsia="MS Mincho" w:hAnsi="Corbel"/>
        </w:rPr>
        <w:t xml:space="preserve"> and IT coordinator</w:t>
      </w:r>
      <w:r w:rsidRPr="00E93858">
        <w:rPr>
          <w:rFonts w:ascii="Corbel" w:eastAsia="MS Mincho" w:hAnsi="Corbel"/>
        </w:rPr>
        <w:t xml:space="preserve">);  </w:t>
      </w:r>
    </w:p>
    <w:p w14:paraId="79AAA95B" w14:textId="77777777" w:rsidR="004A0D9C" w:rsidRPr="00E93858" w:rsidRDefault="009158E4">
      <w:pPr>
        <w:pStyle w:val="NumberList"/>
        <w:rPr>
          <w:rFonts w:ascii="Corbel" w:eastAsia="MS Mincho" w:hAnsi="Corbel"/>
        </w:rPr>
      </w:pPr>
      <w:r w:rsidRPr="00E93858">
        <w:rPr>
          <w:rFonts w:ascii="Corbel" w:eastAsia="MS Mincho" w:hAnsi="Corbel"/>
          <w:i/>
        </w:rPr>
        <w:t>b.</w:t>
      </w:r>
      <w:r w:rsidRPr="00E93858">
        <w:rPr>
          <w:rFonts w:ascii="Corbel" w:eastAsia="MS Mincho" w:hAnsi="Corbel"/>
        </w:rPr>
        <w:tab/>
        <w:t xml:space="preserve">All other paper documents will be destroyed after three years;  </w:t>
      </w:r>
    </w:p>
    <w:p w14:paraId="23300F3B" w14:textId="77777777" w:rsidR="004A0D9C" w:rsidRPr="00E93858" w:rsidRDefault="009158E4">
      <w:pPr>
        <w:pStyle w:val="NumberList"/>
        <w:rPr>
          <w:rFonts w:ascii="Corbel" w:eastAsia="MS Mincho" w:hAnsi="Corbel"/>
        </w:rPr>
      </w:pPr>
      <w:r w:rsidRPr="00E93858">
        <w:rPr>
          <w:rFonts w:ascii="Corbel" w:eastAsia="MS Mincho" w:hAnsi="Corbel"/>
          <w:i/>
        </w:rPr>
        <w:t>c.</w:t>
      </w:r>
      <w:r w:rsidRPr="00E93858">
        <w:rPr>
          <w:rFonts w:ascii="Corbel" w:eastAsia="MS Mincho" w:hAnsi="Corbel"/>
        </w:rPr>
        <w:tab/>
        <w:t xml:space="preserve">All other electronic documents will be deleted from all individual computers, data bases, networks, and back-up storage after one year;  </w:t>
      </w:r>
    </w:p>
    <w:p w14:paraId="05C517FD" w14:textId="6246D5FB" w:rsidR="004A0D9C" w:rsidRPr="00E93858" w:rsidRDefault="009158E4">
      <w:pPr>
        <w:pStyle w:val="NumberList"/>
        <w:rPr>
          <w:rFonts w:ascii="Corbel" w:eastAsia="MS Mincho" w:hAnsi="Corbel"/>
        </w:rPr>
      </w:pPr>
      <w:r w:rsidRPr="00E93858">
        <w:rPr>
          <w:rFonts w:ascii="Corbel" w:eastAsia="MS Mincho" w:hAnsi="Corbel"/>
          <w:i/>
        </w:rPr>
        <w:t>d.</w:t>
      </w:r>
      <w:r w:rsidRPr="00E93858">
        <w:rPr>
          <w:rFonts w:ascii="Corbel" w:eastAsia="MS Mincho" w:hAnsi="Corbel"/>
        </w:rPr>
        <w:tab/>
        <w:t xml:space="preserve">No paper or electronic documents will be destroyed or deleted if pertinent to any ongoing or anticipated government investigation or proceeding or private litigation (check with </w:t>
      </w:r>
      <w:r w:rsidR="004A137D">
        <w:rPr>
          <w:rFonts w:ascii="Corbel" w:eastAsia="MS Mincho" w:hAnsi="Corbel"/>
        </w:rPr>
        <w:t>the Board/</w:t>
      </w:r>
      <w:r w:rsidRPr="00E93858">
        <w:rPr>
          <w:rFonts w:ascii="Corbel" w:eastAsia="MS Mincho" w:hAnsi="Corbel"/>
        </w:rPr>
        <w:t xml:space="preserve">legal counsel for any current or foreseen litigation if employees have not been notified); and  </w:t>
      </w:r>
    </w:p>
    <w:p w14:paraId="7535F84F" w14:textId="77777777" w:rsidR="004A0D9C" w:rsidRPr="00E93858" w:rsidRDefault="009158E4">
      <w:pPr>
        <w:pStyle w:val="NumberList"/>
        <w:rPr>
          <w:rFonts w:ascii="Corbel" w:eastAsia="MS Mincho" w:hAnsi="Corbel"/>
        </w:rPr>
      </w:pPr>
      <w:r w:rsidRPr="00E93858">
        <w:rPr>
          <w:rFonts w:ascii="Corbel" w:eastAsia="MS Mincho" w:hAnsi="Corbel"/>
          <w:i/>
        </w:rPr>
        <w:t>e.</w:t>
      </w:r>
      <w:r w:rsidRPr="00E93858">
        <w:rPr>
          <w:rFonts w:ascii="Corbel" w:eastAsia="MS Mincho" w:hAnsi="Corbel"/>
        </w:rPr>
        <w:tab/>
        <w:t xml:space="preserve">No paper or electronic documents will be destroyed or deleted as required to comply with government auditing standards (Single Audit Act).  </w:t>
      </w:r>
    </w:p>
    <w:p w14:paraId="3283DFC4" w14:textId="77777777" w:rsidR="004A0D9C" w:rsidRPr="00E93858" w:rsidRDefault="009158E4">
      <w:pPr>
        <w:pStyle w:val="AHead"/>
        <w:rPr>
          <w:rFonts w:ascii="Corbel" w:eastAsia="MS Mincho" w:hAnsi="Corbel"/>
        </w:rPr>
      </w:pPr>
      <w:r w:rsidRPr="00E93858">
        <w:rPr>
          <w:rFonts w:ascii="Corbel" w:eastAsia="MS Mincho" w:hAnsi="Corbel"/>
        </w:rPr>
        <w:t>Record Retention</w:t>
      </w:r>
      <w:r w:rsidRPr="00E93858">
        <w:rPr>
          <w:rStyle w:val="FootnoteReference"/>
          <w:rFonts w:ascii="Corbel" w:eastAsia="MS Mincho" w:hAnsi="Corbel"/>
          <w:color w:val="FFFFFF"/>
        </w:rPr>
        <w:footnoteReference w:id="1"/>
      </w:r>
    </w:p>
    <w:p w14:paraId="082C3FCB" w14:textId="77777777" w:rsidR="004A0D9C" w:rsidRPr="00E93858" w:rsidRDefault="009158E4">
      <w:pPr>
        <w:pStyle w:val="Text"/>
        <w:spacing w:before="0"/>
        <w:rPr>
          <w:rFonts w:ascii="Corbel" w:eastAsia="MS Mincho" w:hAnsi="Corbel"/>
        </w:rPr>
      </w:pPr>
      <w:r w:rsidRPr="00E93858">
        <w:rPr>
          <w:rFonts w:ascii="Corbel" w:eastAsia="MS Mincho" w:hAnsi="Corbel"/>
        </w:rPr>
        <w:t xml:space="preserve">The following table* indicates the minimum requirements and is provided as guidance to customize in determining your organization’s document retention policy. Because statutes of limitations and state and government agency requirements vary from state to state, each organization should carefully consider its requirements and consult with legal counsel before adopting a Document Retention and Destruction Policy. In addition, federal awards and other government grants may provide for a longer period than is required by other statutory requirements. </w:t>
      </w:r>
    </w:p>
    <w:p w14:paraId="2497FD34" w14:textId="77777777" w:rsidR="004A0D9C" w:rsidRPr="00E93858" w:rsidRDefault="004A0D9C">
      <w:pPr>
        <w:pStyle w:val="NumberList"/>
        <w:rPr>
          <w:rFonts w:ascii="Corbel" w:hAnsi="Corbel"/>
        </w:rPr>
      </w:pPr>
    </w:p>
    <w:p w14:paraId="75D97F0A" w14:textId="77777777" w:rsidR="004A0D9C" w:rsidRPr="00E93858" w:rsidRDefault="004A0D9C">
      <w:pPr>
        <w:pStyle w:val="AHead"/>
        <w:rPr>
          <w:rFonts w:ascii="Corbel" w:hAnsi="Corbel"/>
        </w:rPr>
        <w:sectPr w:rsidR="004A0D9C" w:rsidRPr="00E93858">
          <w:headerReference w:type="even" r:id="rId7"/>
          <w:footerReference w:type="even" r:id="rId8"/>
          <w:footerReference w:type="default" r:id="rId9"/>
          <w:type w:val="continuous"/>
          <w:pgSz w:w="12240" w:h="15840" w:code="1"/>
          <w:pgMar w:top="1800" w:right="1440" w:bottom="1440" w:left="1440" w:header="720" w:footer="720" w:gutter="0"/>
          <w:pgNumType w:start="65"/>
          <w:cols w:space="720"/>
        </w:sectPr>
      </w:pPr>
    </w:p>
    <w:p w14:paraId="33EBA9F4" w14:textId="77777777" w:rsidR="004A0D9C" w:rsidRPr="00E93858" w:rsidRDefault="004A0D9C">
      <w:pPr>
        <w:pStyle w:val="PlainText"/>
        <w:rPr>
          <w:rFonts w:ascii="Corbel" w:eastAsia="MS Mincho" w:hAnsi="Corbel"/>
        </w:rPr>
        <w:sectPr w:rsidR="004A0D9C" w:rsidRPr="00E93858">
          <w:headerReference w:type="default" r:id="rId10"/>
          <w:type w:val="continuous"/>
          <w:pgSz w:w="12240" w:h="15840" w:code="1"/>
          <w:pgMar w:top="1440" w:right="1440" w:bottom="1440" w:left="1440" w:header="720" w:footer="720" w:gutter="0"/>
          <w:cols w:space="720"/>
        </w:sectPr>
      </w:pPr>
    </w:p>
    <w:tbl>
      <w:tblPr>
        <w:tblW w:w="9368" w:type="dxa"/>
        <w:tblBorders>
          <w:top w:val="single" w:sz="6" w:space="0" w:color="296AA5"/>
          <w:left w:val="single" w:sz="6" w:space="0" w:color="296AA5"/>
          <w:bottom w:val="single" w:sz="6" w:space="0" w:color="296AA5"/>
          <w:right w:val="single" w:sz="6" w:space="0" w:color="296AA5"/>
        </w:tblBorders>
        <w:shd w:val="clear" w:color="auto" w:fill="296AA5"/>
        <w:tblLayout w:type="fixed"/>
        <w:tblCellMar>
          <w:left w:w="0" w:type="dxa"/>
          <w:right w:w="0" w:type="dxa"/>
        </w:tblCellMar>
        <w:tblLook w:val="0000" w:firstRow="0" w:lastRow="0" w:firstColumn="0" w:lastColumn="0" w:noHBand="0" w:noVBand="0"/>
      </w:tblPr>
      <w:tblGrid>
        <w:gridCol w:w="5400"/>
        <w:gridCol w:w="3968"/>
      </w:tblGrid>
      <w:tr w:rsidR="004A0D9C" w:rsidRPr="00E93858" w14:paraId="453F30F9" w14:textId="77777777" w:rsidTr="004A137D">
        <w:trPr>
          <w:cantSplit/>
          <w:tblHeader/>
        </w:trPr>
        <w:tc>
          <w:tcPr>
            <w:tcW w:w="5400" w:type="dxa"/>
            <w:tcBorders>
              <w:top w:val="single" w:sz="6" w:space="0" w:color="auto"/>
              <w:left w:val="single" w:sz="6" w:space="0" w:color="auto"/>
              <w:bottom w:val="single" w:sz="6" w:space="0" w:color="auto"/>
            </w:tcBorders>
            <w:shd w:val="clear" w:color="auto" w:fill="333333"/>
          </w:tcPr>
          <w:p w14:paraId="72E3D146" w14:textId="77777777" w:rsidR="004A0D9C" w:rsidRPr="00E93858" w:rsidRDefault="009158E4">
            <w:pPr>
              <w:pStyle w:val="Text"/>
              <w:keepNext/>
              <w:keepLines/>
              <w:spacing w:before="60" w:after="60"/>
              <w:ind w:left="540" w:right="120" w:hanging="420"/>
              <w:jc w:val="center"/>
              <w:rPr>
                <w:rFonts w:ascii="Corbel" w:hAnsi="Corbel"/>
              </w:rPr>
            </w:pPr>
            <w:r w:rsidRPr="00E93858">
              <w:rPr>
                <w:rFonts w:ascii="Corbel" w:eastAsia="MS Mincho" w:hAnsi="Corbel"/>
                <w:b/>
                <w:bCs/>
              </w:rPr>
              <w:lastRenderedPageBreak/>
              <w:t>Type of Document</w:t>
            </w:r>
          </w:p>
        </w:tc>
        <w:tc>
          <w:tcPr>
            <w:tcW w:w="3968" w:type="dxa"/>
            <w:tcBorders>
              <w:top w:val="single" w:sz="6" w:space="0" w:color="auto"/>
              <w:bottom w:val="single" w:sz="6" w:space="0" w:color="auto"/>
              <w:right w:val="single" w:sz="6" w:space="0" w:color="auto"/>
            </w:tcBorders>
            <w:shd w:val="clear" w:color="auto" w:fill="333333"/>
          </w:tcPr>
          <w:p w14:paraId="28E07041" w14:textId="77777777" w:rsidR="004A0D9C" w:rsidRPr="00E93858" w:rsidRDefault="009158E4">
            <w:pPr>
              <w:pStyle w:val="Text"/>
              <w:keepNext/>
              <w:keepLines/>
              <w:spacing w:before="60" w:after="60"/>
              <w:ind w:left="540" w:right="120" w:hanging="420"/>
              <w:jc w:val="center"/>
              <w:rPr>
                <w:rFonts w:ascii="Corbel" w:hAnsi="Corbel"/>
              </w:rPr>
            </w:pPr>
            <w:r w:rsidRPr="00E93858">
              <w:rPr>
                <w:rFonts w:ascii="Corbel" w:hAnsi="Corbel"/>
                <w:b/>
              </w:rPr>
              <w:t>Minimum Requirement</w:t>
            </w:r>
          </w:p>
        </w:tc>
      </w:tr>
      <w:tr w:rsidR="004A137D" w:rsidRPr="00E93858" w14:paraId="530F6424"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78E404D2" w14:textId="1A20D184"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Audit reports</w:t>
            </w:r>
          </w:p>
        </w:tc>
        <w:tc>
          <w:tcPr>
            <w:tcW w:w="3968" w:type="dxa"/>
          </w:tcPr>
          <w:p w14:paraId="5E99F315" w14:textId="78128280"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Permanently</w:t>
            </w:r>
          </w:p>
        </w:tc>
      </w:tr>
      <w:tr w:rsidR="004A137D" w:rsidRPr="00E93858" w14:paraId="16A33ABC"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363327D7" w14:textId="5F4C3AF6"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Checks (for important payments and purchases)</w:t>
            </w:r>
          </w:p>
        </w:tc>
        <w:tc>
          <w:tcPr>
            <w:tcW w:w="3968" w:type="dxa"/>
          </w:tcPr>
          <w:p w14:paraId="638C40EA" w14:textId="0A7EE635"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Permanently</w:t>
            </w:r>
          </w:p>
        </w:tc>
      </w:tr>
      <w:tr w:rsidR="004A137D" w:rsidRPr="00E93858" w14:paraId="176A440A"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2446A59D" w14:textId="4B7CABC7"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Correspondence (legal and important matters)</w:t>
            </w:r>
          </w:p>
        </w:tc>
        <w:tc>
          <w:tcPr>
            <w:tcW w:w="3968" w:type="dxa"/>
          </w:tcPr>
          <w:p w14:paraId="454C33C1" w14:textId="08D6C3CB"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Permanently</w:t>
            </w:r>
          </w:p>
        </w:tc>
      </w:tr>
      <w:tr w:rsidR="004A137D" w:rsidRPr="00E93858" w14:paraId="2C02143D"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62C0EDB3" w14:textId="03DBFB3E"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Deeds, mortgages, and bills of sale</w:t>
            </w:r>
          </w:p>
        </w:tc>
        <w:tc>
          <w:tcPr>
            <w:tcW w:w="3968" w:type="dxa"/>
          </w:tcPr>
          <w:p w14:paraId="1E6BE377" w14:textId="294231A5"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Permanently</w:t>
            </w:r>
          </w:p>
        </w:tc>
      </w:tr>
      <w:tr w:rsidR="004A137D" w:rsidRPr="00E93858" w14:paraId="35B63C18"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3B1B893F" w14:textId="1D15D0F6"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Depreciation schedules</w:t>
            </w:r>
          </w:p>
        </w:tc>
        <w:tc>
          <w:tcPr>
            <w:tcW w:w="3968" w:type="dxa"/>
          </w:tcPr>
          <w:p w14:paraId="2A6D1473" w14:textId="68FE2AA8"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Permanently</w:t>
            </w:r>
          </w:p>
        </w:tc>
      </w:tr>
      <w:tr w:rsidR="004A137D" w:rsidRPr="00E93858" w14:paraId="0A86FBCD"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2B2C4707" w14:textId="3E404EF6"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 xml:space="preserve">Year-end financial statements </w:t>
            </w:r>
          </w:p>
        </w:tc>
        <w:tc>
          <w:tcPr>
            <w:tcW w:w="3968" w:type="dxa"/>
          </w:tcPr>
          <w:p w14:paraId="5CAD9701" w14:textId="44220D48"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Permanently</w:t>
            </w:r>
          </w:p>
        </w:tc>
      </w:tr>
      <w:tr w:rsidR="004A137D" w:rsidRPr="00E93858" w14:paraId="1C986BD2"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7776934D" w14:textId="69645BCB"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Insurance records, current accident reports, claims, policies, and so on (active and expired)</w:t>
            </w:r>
          </w:p>
        </w:tc>
        <w:tc>
          <w:tcPr>
            <w:tcW w:w="3968" w:type="dxa"/>
          </w:tcPr>
          <w:p w14:paraId="1AFDFB25" w14:textId="4A227661"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Permanently</w:t>
            </w:r>
          </w:p>
        </w:tc>
      </w:tr>
      <w:tr w:rsidR="004A137D" w:rsidRPr="00E93858" w14:paraId="3B5F3383"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1E6D25AB" w14:textId="51741FA7"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Minute books, bylaws, and charter</w:t>
            </w:r>
          </w:p>
        </w:tc>
        <w:tc>
          <w:tcPr>
            <w:tcW w:w="3968" w:type="dxa"/>
          </w:tcPr>
          <w:p w14:paraId="5C4AC472" w14:textId="6EEF339D"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Permanently</w:t>
            </w:r>
          </w:p>
        </w:tc>
      </w:tr>
      <w:tr w:rsidR="004A137D" w:rsidRPr="00E93858" w14:paraId="38D6AFDF"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4E480A39" w14:textId="699C0817"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Patents and related papers</w:t>
            </w:r>
          </w:p>
        </w:tc>
        <w:tc>
          <w:tcPr>
            <w:tcW w:w="3968" w:type="dxa"/>
          </w:tcPr>
          <w:p w14:paraId="3CBCFA2F" w14:textId="21EF5684"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Permanently</w:t>
            </w:r>
          </w:p>
        </w:tc>
      </w:tr>
      <w:tr w:rsidR="004A137D" w:rsidRPr="00E93858" w14:paraId="29117437"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090ECB10" w14:textId="54909419"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Retirement and pension records</w:t>
            </w:r>
          </w:p>
        </w:tc>
        <w:tc>
          <w:tcPr>
            <w:tcW w:w="3968" w:type="dxa"/>
          </w:tcPr>
          <w:p w14:paraId="1790CCE7" w14:textId="498E6144"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Permanently</w:t>
            </w:r>
          </w:p>
        </w:tc>
      </w:tr>
      <w:tr w:rsidR="004A137D" w:rsidRPr="00E93858" w14:paraId="535AC906"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1DA42199" w14:textId="763653E7"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Tax returns and worksheets</w:t>
            </w:r>
          </w:p>
        </w:tc>
        <w:tc>
          <w:tcPr>
            <w:tcW w:w="3968" w:type="dxa"/>
          </w:tcPr>
          <w:p w14:paraId="3CA9A63A" w14:textId="1D3DBBD5"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Permanently</w:t>
            </w:r>
          </w:p>
        </w:tc>
      </w:tr>
      <w:tr w:rsidR="004A137D" w:rsidRPr="00E93858" w14:paraId="1B78A5AD"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6C3EDDF3" w14:textId="020B2D7F"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Trademark registrations and copyrights</w:t>
            </w:r>
          </w:p>
        </w:tc>
        <w:tc>
          <w:tcPr>
            <w:tcW w:w="3968" w:type="dxa"/>
          </w:tcPr>
          <w:p w14:paraId="42D5B474" w14:textId="01DD0242"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Permanently</w:t>
            </w:r>
          </w:p>
        </w:tc>
      </w:tr>
      <w:tr w:rsidR="004A137D" w:rsidRPr="00E93858" w14:paraId="07D979B2"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66CF30FD" w14:textId="1F27A34C"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Contracts (still in effect)</w:t>
            </w:r>
          </w:p>
        </w:tc>
        <w:tc>
          <w:tcPr>
            <w:tcW w:w="3968" w:type="dxa"/>
          </w:tcPr>
          <w:p w14:paraId="35974908" w14:textId="4EB04CA9"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Contract period</w:t>
            </w:r>
          </w:p>
        </w:tc>
      </w:tr>
      <w:tr w:rsidR="004A137D" w:rsidRPr="00E93858" w14:paraId="6906BB3E"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3D1E6793" w14:textId="4C04D240"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Accounts payable ledgers and schedules</w:t>
            </w:r>
          </w:p>
        </w:tc>
        <w:tc>
          <w:tcPr>
            <w:tcW w:w="3968" w:type="dxa"/>
          </w:tcPr>
          <w:p w14:paraId="527837EF" w14:textId="7002BA7D"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7 years</w:t>
            </w:r>
          </w:p>
        </w:tc>
      </w:tr>
      <w:tr w:rsidR="004A137D" w:rsidRPr="00E93858" w14:paraId="4DB38251"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424A172F" w14:textId="33B93410"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Contracts, mortgages, notes, and leases (expired)</w:t>
            </w:r>
          </w:p>
        </w:tc>
        <w:tc>
          <w:tcPr>
            <w:tcW w:w="3968" w:type="dxa"/>
          </w:tcPr>
          <w:p w14:paraId="2F6841DD" w14:textId="630F1DF5"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7 years</w:t>
            </w:r>
          </w:p>
        </w:tc>
      </w:tr>
      <w:tr w:rsidR="004A137D" w:rsidRPr="00E93858" w14:paraId="54BD827B"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7A9B3EC1" w14:textId="2C0F4BEB"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Expense analyses/expense distribution schedules</w:t>
            </w:r>
          </w:p>
        </w:tc>
        <w:tc>
          <w:tcPr>
            <w:tcW w:w="3968" w:type="dxa"/>
          </w:tcPr>
          <w:p w14:paraId="30C37072" w14:textId="61E04485"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7 years</w:t>
            </w:r>
          </w:p>
        </w:tc>
      </w:tr>
      <w:tr w:rsidR="004A137D" w:rsidRPr="00E93858" w14:paraId="7E66D201"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054383F3" w14:textId="188D0FB2"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Invoices (to customers, from vendors)</w:t>
            </w:r>
          </w:p>
        </w:tc>
        <w:tc>
          <w:tcPr>
            <w:tcW w:w="3968" w:type="dxa"/>
          </w:tcPr>
          <w:p w14:paraId="0A29BDE6" w14:textId="769FEE30"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7 years</w:t>
            </w:r>
          </w:p>
        </w:tc>
      </w:tr>
      <w:tr w:rsidR="004A137D" w:rsidRPr="00E93858" w14:paraId="6D640A26"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49936C12" w14:textId="32D6A9A4"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Payroll records and summaries</w:t>
            </w:r>
          </w:p>
        </w:tc>
        <w:tc>
          <w:tcPr>
            <w:tcW w:w="3968" w:type="dxa"/>
          </w:tcPr>
          <w:p w14:paraId="37A5C42F" w14:textId="7036B963"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7 years</w:t>
            </w:r>
          </w:p>
        </w:tc>
      </w:tr>
      <w:tr w:rsidR="004A137D" w:rsidRPr="00E93858" w14:paraId="1B394609"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4C69D34C" w14:textId="143B7ADB"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Personnel files (terminated employees)</w:t>
            </w:r>
          </w:p>
        </w:tc>
        <w:tc>
          <w:tcPr>
            <w:tcW w:w="3968" w:type="dxa"/>
          </w:tcPr>
          <w:p w14:paraId="12DBF456" w14:textId="48E4D7DC"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7 years</w:t>
            </w:r>
          </w:p>
        </w:tc>
      </w:tr>
      <w:tr w:rsidR="004A137D" w:rsidRPr="00E93858" w14:paraId="0BD66FD1"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7F4082FC" w14:textId="0E39E486"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Timesheets</w:t>
            </w:r>
          </w:p>
        </w:tc>
        <w:tc>
          <w:tcPr>
            <w:tcW w:w="3968" w:type="dxa"/>
          </w:tcPr>
          <w:p w14:paraId="68EDF4D5" w14:textId="5E0094BC"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7 years</w:t>
            </w:r>
          </w:p>
        </w:tc>
      </w:tr>
      <w:tr w:rsidR="004A137D" w:rsidRPr="00E93858" w14:paraId="223E064D"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74A4844E" w14:textId="56C34FC3"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Withholding tax statements</w:t>
            </w:r>
          </w:p>
        </w:tc>
        <w:tc>
          <w:tcPr>
            <w:tcW w:w="3968" w:type="dxa"/>
          </w:tcPr>
          <w:p w14:paraId="667499D2" w14:textId="1DD7D079"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7 years</w:t>
            </w:r>
          </w:p>
        </w:tc>
      </w:tr>
      <w:tr w:rsidR="004A137D" w:rsidRPr="00E93858" w14:paraId="1259BFA4"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23392CF7" w14:textId="661D1957"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Bank statements</w:t>
            </w:r>
          </w:p>
        </w:tc>
        <w:tc>
          <w:tcPr>
            <w:tcW w:w="3968" w:type="dxa"/>
          </w:tcPr>
          <w:p w14:paraId="637ECBB5" w14:textId="0562154C"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3 years</w:t>
            </w:r>
          </w:p>
        </w:tc>
      </w:tr>
      <w:tr w:rsidR="004A137D" w:rsidRPr="00E93858" w14:paraId="457209A1"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1819A4BD" w14:textId="134778A9"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Employment applications</w:t>
            </w:r>
          </w:p>
        </w:tc>
        <w:tc>
          <w:tcPr>
            <w:tcW w:w="3968" w:type="dxa"/>
          </w:tcPr>
          <w:p w14:paraId="2AD195F1" w14:textId="37ECA251"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3 years</w:t>
            </w:r>
          </w:p>
        </w:tc>
      </w:tr>
      <w:tr w:rsidR="004A137D" w:rsidRPr="00E93858" w14:paraId="15281D9C"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42E83F7A" w14:textId="77777777"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Internal audit reports</w:t>
            </w:r>
          </w:p>
        </w:tc>
        <w:tc>
          <w:tcPr>
            <w:tcW w:w="3968" w:type="dxa"/>
          </w:tcPr>
          <w:p w14:paraId="62D80AED" w14:textId="77777777"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3 years</w:t>
            </w:r>
          </w:p>
        </w:tc>
      </w:tr>
      <w:tr w:rsidR="004A137D" w:rsidRPr="00E93858" w14:paraId="4CC4CB95"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3F04B8A6" w14:textId="77777777"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Inventory records for products, materials, and supplies</w:t>
            </w:r>
          </w:p>
        </w:tc>
        <w:tc>
          <w:tcPr>
            <w:tcW w:w="3968" w:type="dxa"/>
          </w:tcPr>
          <w:p w14:paraId="332C7D04" w14:textId="77777777"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3 years</w:t>
            </w:r>
          </w:p>
        </w:tc>
      </w:tr>
      <w:tr w:rsidR="004A137D" w:rsidRPr="00E93858" w14:paraId="587743D9"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34C2F7C2" w14:textId="5073263B"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Correspondence (general)</w:t>
            </w:r>
          </w:p>
        </w:tc>
        <w:tc>
          <w:tcPr>
            <w:tcW w:w="3968" w:type="dxa"/>
          </w:tcPr>
          <w:p w14:paraId="36A7A525" w14:textId="6C8E923A"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2 years</w:t>
            </w:r>
          </w:p>
        </w:tc>
      </w:tr>
      <w:tr w:rsidR="004A137D" w:rsidRPr="00E93858" w14:paraId="1DED1934"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7272B9A4" w14:textId="348CB162"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Correspondence (with customers and vendors)</w:t>
            </w:r>
          </w:p>
        </w:tc>
        <w:tc>
          <w:tcPr>
            <w:tcW w:w="3968" w:type="dxa"/>
          </w:tcPr>
          <w:p w14:paraId="3648B24E" w14:textId="147DCF40"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2 years</w:t>
            </w:r>
          </w:p>
        </w:tc>
      </w:tr>
      <w:tr w:rsidR="004A137D" w:rsidRPr="00E93858" w14:paraId="36589F7C"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2BECA294" w14:textId="39848B23"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Duplicate deposit slips</w:t>
            </w:r>
          </w:p>
        </w:tc>
        <w:tc>
          <w:tcPr>
            <w:tcW w:w="3968" w:type="dxa"/>
          </w:tcPr>
          <w:p w14:paraId="3025D492" w14:textId="2CDAA318"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2 years</w:t>
            </w:r>
          </w:p>
        </w:tc>
      </w:tr>
      <w:tr w:rsidR="004A137D" w:rsidRPr="00E93858" w14:paraId="3494790A" w14:textId="77777777" w:rsidTr="004A137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00EB259A" w14:textId="5AAFA057" w:rsidR="004A137D" w:rsidRPr="00E93858" w:rsidRDefault="004A137D" w:rsidP="004A137D">
            <w:pPr>
              <w:pStyle w:val="Text"/>
              <w:spacing w:before="60" w:after="60"/>
              <w:ind w:left="120" w:right="120"/>
              <w:rPr>
                <w:rFonts w:ascii="Corbel" w:eastAsia="MS Mincho" w:hAnsi="Corbel"/>
              </w:rPr>
            </w:pPr>
            <w:r w:rsidRPr="00E93858">
              <w:rPr>
                <w:rFonts w:ascii="Corbel" w:eastAsia="MS Mincho" w:hAnsi="Corbel"/>
              </w:rPr>
              <w:t>Bank reconciliations</w:t>
            </w:r>
          </w:p>
        </w:tc>
        <w:tc>
          <w:tcPr>
            <w:tcW w:w="3968" w:type="dxa"/>
          </w:tcPr>
          <w:p w14:paraId="580E3858" w14:textId="1EA71488" w:rsidR="004A137D" w:rsidRPr="00E93858" w:rsidRDefault="004A137D" w:rsidP="004A137D">
            <w:pPr>
              <w:pStyle w:val="Text"/>
              <w:spacing w:before="60" w:after="60"/>
              <w:ind w:left="1448" w:right="120"/>
              <w:rPr>
                <w:rFonts w:ascii="Corbel" w:eastAsia="MS Mincho" w:hAnsi="Corbel"/>
              </w:rPr>
            </w:pPr>
            <w:r w:rsidRPr="00E93858">
              <w:rPr>
                <w:rFonts w:ascii="Corbel" w:eastAsia="MS Mincho" w:hAnsi="Corbel"/>
              </w:rPr>
              <w:t>2 years</w:t>
            </w:r>
          </w:p>
        </w:tc>
      </w:tr>
    </w:tbl>
    <w:p w14:paraId="3D6E99F7" w14:textId="3B86C194" w:rsidR="004A0D9C" w:rsidRPr="00E93858" w:rsidRDefault="004A0D9C" w:rsidP="00E93858">
      <w:pPr>
        <w:pStyle w:val="BulletList"/>
        <w:rPr>
          <w:rFonts w:ascii="Corbel" w:eastAsia="MS Mincho" w:hAnsi="Corbel"/>
        </w:rPr>
      </w:pPr>
    </w:p>
    <w:sectPr w:rsidR="004A0D9C" w:rsidRPr="00E93858">
      <w:headerReference w:type="even" r:id="rId11"/>
      <w:footerReference w:type="even"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6F2C6" w14:textId="77777777" w:rsidR="00921425" w:rsidRDefault="00921425">
      <w:r>
        <w:separator/>
      </w:r>
    </w:p>
  </w:endnote>
  <w:endnote w:type="continuationSeparator" w:id="0">
    <w:p w14:paraId="0163206A" w14:textId="77777777" w:rsidR="00921425" w:rsidRDefault="0092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Condensed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shd w:val="clear" w:color="auto" w:fill="296AA5"/>
      <w:tblLook w:val="01E0" w:firstRow="1" w:lastRow="1" w:firstColumn="1" w:lastColumn="1" w:noHBand="0" w:noVBand="0"/>
    </w:tblPr>
    <w:tblGrid>
      <w:gridCol w:w="236"/>
      <w:gridCol w:w="592"/>
    </w:tblGrid>
    <w:tr w:rsidR="004A0D9C" w14:paraId="0AAF6271" w14:textId="77777777">
      <w:tc>
        <w:tcPr>
          <w:tcW w:w="236" w:type="dxa"/>
          <w:shd w:val="clear" w:color="auto" w:fill="333333"/>
        </w:tcPr>
        <w:p w14:paraId="035359E7" w14:textId="77777777" w:rsidR="004A0D9C" w:rsidRDefault="004A0D9C">
          <w:pPr>
            <w:pStyle w:val="Footer"/>
          </w:pPr>
        </w:p>
      </w:tc>
      <w:tc>
        <w:tcPr>
          <w:tcW w:w="592" w:type="dxa"/>
          <w:shd w:val="clear" w:color="auto" w:fill="D9D9D9"/>
          <w:tcMar>
            <w:left w:w="0" w:type="dxa"/>
            <w:right w:w="0" w:type="dxa"/>
          </w:tcMar>
        </w:tcPr>
        <w:p w14:paraId="2FAC93D0" w14:textId="77777777" w:rsidR="004A0D9C" w:rsidRDefault="009158E4">
          <w:pPr>
            <w:pStyle w:val="Footer"/>
            <w:jc w:val="center"/>
            <w:rPr>
              <w:rFonts w:ascii="Helvetica" w:hAnsi="Helvetica"/>
              <w:b/>
            </w:rPr>
          </w:pPr>
          <w:r>
            <w:rPr>
              <w:rStyle w:val="PageNumber"/>
              <w:rFonts w:ascii="Helvetica" w:hAnsi="Helvetica"/>
              <w:b/>
            </w:rPr>
            <w:fldChar w:fldCharType="begin"/>
          </w:r>
          <w:r>
            <w:rPr>
              <w:rStyle w:val="PageNumber"/>
              <w:rFonts w:ascii="Helvetica" w:hAnsi="Helvetica"/>
              <w:b/>
            </w:rPr>
            <w:instrText xml:space="preserve"> PAGE </w:instrText>
          </w:r>
          <w:r>
            <w:rPr>
              <w:rStyle w:val="PageNumber"/>
              <w:rFonts w:ascii="Helvetica" w:hAnsi="Helvetica"/>
              <w:b/>
            </w:rPr>
            <w:fldChar w:fldCharType="separate"/>
          </w:r>
          <w:r>
            <w:rPr>
              <w:rStyle w:val="PageNumber"/>
              <w:rFonts w:ascii="Helvetica" w:hAnsi="Helvetica"/>
              <w:b/>
              <w:noProof/>
            </w:rPr>
            <w:t>66</w:t>
          </w:r>
          <w:r>
            <w:rPr>
              <w:rStyle w:val="PageNumber"/>
              <w:rFonts w:ascii="Helvetica" w:hAnsi="Helvetica"/>
              <w:b/>
            </w:rPr>
            <w:fldChar w:fldCharType="end"/>
          </w:r>
        </w:p>
      </w:tc>
    </w:tr>
  </w:tbl>
  <w:p w14:paraId="0560454C" w14:textId="77777777" w:rsidR="004A0D9C" w:rsidRDefault="004A0D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57381" w14:textId="28DA1B0F" w:rsidR="004A0D9C" w:rsidRDefault="004A0D9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01BDA" w14:textId="77777777" w:rsidR="004A0D9C" w:rsidRDefault="004A0D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B1D20" w14:textId="77777777" w:rsidR="00921425" w:rsidRDefault="00921425">
      <w:r>
        <w:separator/>
      </w:r>
    </w:p>
  </w:footnote>
  <w:footnote w:type="continuationSeparator" w:id="0">
    <w:p w14:paraId="3302D767" w14:textId="77777777" w:rsidR="00921425" w:rsidRDefault="00921425">
      <w:r>
        <w:continuationSeparator/>
      </w:r>
    </w:p>
  </w:footnote>
  <w:footnote w:id="1">
    <w:p w14:paraId="08A34448" w14:textId="77777777" w:rsidR="004A0D9C" w:rsidRDefault="009158E4">
      <w:pPr>
        <w:pStyle w:val="FootnoteText"/>
      </w:pPr>
      <w:r>
        <w:rPr>
          <w:rFonts w:eastAsia="MS Mincho"/>
        </w:rPr>
        <w:t xml:space="preserve">* Adapted from National Council of Nonprofits.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5F45" w14:textId="77777777" w:rsidR="004A0D9C" w:rsidRDefault="009158E4">
    <w:pPr>
      <w:pStyle w:val="Header"/>
    </w:pPr>
    <w:r>
      <w:rPr>
        <w:rFonts w:ascii="Helvetica" w:hAnsi="Helvetica"/>
        <w:b/>
        <w:i/>
      </w:rPr>
      <w:t>The AICPA Audit Committee Toolkit: Not-for-Profit Organizations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6C3AD" w14:textId="7ACEF45B" w:rsidR="004A0D9C" w:rsidRPr="00E93858" w:rsidRDefault="004A0D9C" w:rsidP="00E93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7189C" w14:textId="77777777" w:rsidR="004A0D9C" w:rsidRDefault="004A0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B8A3C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97EE3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B60D3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2CF53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95CAB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EE00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64EC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5C25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FA17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DA49B4"/>
    <w:lvl w:ilvl="0">
      <w:start w:val="1"/>
      <w:numFmt w:val="bullet"/>
      <w:pStyle w:val="ListBullet"/>
      <w:lvlText w:val=""/>
      <w:lvlJc w:val="left"/>
      <w:pPr>
        <w:tabs>
          <w:tab w:val="num" w:pos="360"/>
        </w:tabs>
        <w:ind w:left="360" w:hanging="360"/>
      </w:pPr>
      <w:rPr>
        <w:rFonts w:ascii="Symbol" w:hAnsi="Symbol" w:hint="default"/>
      </w:rPr>
    </w:lvl>
  </w:abstractNum>
  <w:num w:numId="1" w16cid:durableId="867181121">
    <w:abstractNumId w:val="9"/>
  </w:num>
  <w:num w:numId="2" w16cid:durableId="1306544969">
    <w:abstractNumId w:val="7"/>
  </w:num>
  <w:num w:numId="3" w16cid:durableId="1113400359">
    <w:abstractNumId w:val="6"/>
  </w:num>
  <w:num w:numId="4" w16cid:durableId="1253705375">
    <w:abstractNumId w:val="5"/>
  </w:num>
  <w:num w:numId="5" w16cid:durableId="1951274734">
    <w:abstractNumId w:val="4"/>
  </w:num>
  <w:num w:numId="6" w16cid:durableId="1871604836">
    <w:abstractNumId w:val="8"/>
  </w:num>
  <w:num w:numId="7" w16cid:durableId="581185027">
    <w:abstractNumId w:val="3"/>
  </w:num>
  <w:num w:numId="8" w16cid:durableId="1553926145">
    <w:abstractNumId w:val="2"/>
  </w:num>
  <w:num w:numId="9" w16cid:durableId="655836673">
    <w:abstractNumId w:val="1"/>
  </w:num>
  <w:num w:numId="10" w16cid:durableId="373041969">
    <w:abstractNumId w:val="0"/>
  </w:num>
  <w:num w:numId="11" w16cid:durableId="988093345">
    <w:abstractNumId w:val="9"/>
  </w:num>
  <w:num w:numId="12" w16cid:durableId="1263227472">
    <w:abstractNumId w:val="7"/>
  </w:num>
  <w:num w:numId="13" w16cid:durableId="666518102">
    <w:abstractNumId w:val="6"/>
  </w:num>
  <w:num w:numId="14" w16cid:durableId="127358084">
    <w:abstractNumId w:val="5"/>
  </w:num>
  <w:num w:numId="15" w16cid:durableId="367296271">
    <w:abstractNumId w:val="4"/>
  </w:num>
  <w:num w:numId="16" w16cid:durableId="1088886649">
    <w:abstractNumId w:val="8"/>
  </w:num>
  <w:num w:numId="17" w16cid:durableId="804204750">
    <w:abstractNumId w:val="3"/>
  </w:num>
  <w:num w:numId="18" w16cid:durableId="2069986363">
    <w:abstractNumId w:val="2"/>
  </w:num>
  <w:num w:numId="19" w16cid:durableId="1823496768">
    <w:abstractNumId w:val="1"/>
  </w:num>
  <w:num w:numId="20" w16cid:durableId="167537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colormru v:ext="edit" colors="#c6dcf0,#e1edf7,#296aa5,#79a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01"/>
    <w:rsid w:val="00272690"/>
    <w:rsid w:val="004A0D9C"/>
    <w:rsid w:val="004A137D"/>
    <w:rsid w:val="005805B9"/>
    <w:rsid w:val="006B2E85"/>
    <w:rsid w:val="00765C01"/>
    <w:rsid w:val="007E1679"/>
    <w:rsid w:val="00853E7C"/>
    <w:rsid w:val="009158E4"/>
    <w:rsid w:val="00921425"/>
    <w:rsid w:val="009F77D3"/>
    <w:rsid w:val="00BA1901"/>
    <w:rsid w:val="00E52505"/>
    <w:rsid w:val="00E9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6dcf0,#e1edf7,#296aa5,#79addd"/>
    </o:shapedefaults>
    <o:shapelayout v:ext="edit">
      <o:idmap v:ext="edit" data="2"/>
    </o:shapelayout>
  </w:shapeDefaults>
  <w:decimalSymbol w:val="."/>
  <w:listSeparator w:val=","/>
  <w14:docId w14:val="7F728CE5"/>
  <w15:docId w15:val="{1FA642C6-28F3-40F8-95E8-3B9A6128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PageHead">
    <w:name w:val="Page Head"/>
    <w:pPr>
      <w:jc w:val="center"/>
    </w:pPr>
    <w:rPr>
      <w:rFonts w:ascii="Helvetica" w:hAnsi="Helvetica"/>
      <w:b/>
      <w:w w:val="90"/>
      <w:sz w:val="32"/>
    </w:rPr>
  </w:style>
  <w:style w:type="paragraph" w:customStyle="1" w:styleId="Text">
    <w:name w:val="Text"/>
    <w:pPr>
      <w:suppressAutoHyphens/>
      <w:spacing w:before="300"/>
    </w:pPr>
    <w:rPr>
      <w:rFonts w:ascii="Helvetica" w:hAnsi="Helvetica"/>
      <w:w w:val="90"/>
      <w:sz w:val="22"/>
    </w:rPr>
  </w:style>
  <w:style w:type="paragraph" w:customStyle="1" w:styleId="PurposeBoxText">
    <w:name w:val="Purpose Box Text"/>
    <w:basedOn w:val="Text"/>
    <w:pPr>
      <w:spacing w:before="180" w:after="180" w:line="320" w:lineRule="atLeast"/>
      <w:ind w:left="144" w:right="144"/>
    </w:pPr>
  </w:style>
  <w:style w:type="paragraph" w:customStyle="1" w:styleId="AHead">
    <w:name w:val="A Head"/>
    <w:pPr>
      <w:spacing w:before="360" w:after="60"/>
    </w:pPr>
    <w:rPr>
      <w:rFonts w:ascii="Helvetica" w:hAnsi="Helvetica"/>
      <w:b/>
      <w:w w:val="90"/>
      <w:sz w:val="24"/>
    </w:rPr>
  </w:style>
  <w:style w:type="paragraph" w:customStyle="1" w:styleId="FirstParagraph">
    <w:name w:val="First Paragraph"/>
    <w:basedOn w:val="Text"/>
    <w:pPr>
      <w:spacing w:before="0"/>
    </w:pPr>
  </w:style>
  <w:style w:type="paragraph" w:customStyle="1" w:styleId="BulletList">
    <w:name w:val="Bullet List"/>
    <w:pPr>
      <w:tabs>
        <w:tab w:val="left" w:pos="600"/>
      </w:tabs>
      <w:spacing w:before="120"/>
      <w:ind w:left="600" w:hanging="600"/>
    </w:pPr>
    <w:rPr>
      <w:rFonts w:ascii="Helvetica" w:hAnsi="Helvetica"/>
      <w:w w:val="90"/>
      <w:sz w:val="22"/>
    </w:rPr>
  </w:style>
  <w:style w:type="paragraph" w:customStyle="1" w:styleId="NumberList">
    <w:name w:val="Number List"/>
    <w:pPr>
      <w:tabs>
        <w:tab w:val="left" w:pos="360"/>
      </w:tabs>
      <w:spacing w:before="120"/>
      <w:ind w:left="360" w:hanging="360"/>
    </w:pPr>
    <w:rPr>
      <w:rFonts w:ascii="Helvetica" w:hAnsi="Helvetica"/>
      <w:w w:val="90"/>
      <w:sz w:val="22"/>
    </w:rPr>
  </w:style>
  <w:style w:type="paragraph" w:customStyle="1" w:styleId="Sublist">
    <w:name w:val="Sublist"/>
    <w:pPr>
      <w:tabs>
        <w:tab w:val="left" w:pos="360"/>
        <w:tab w:val="left" w:pos="720"/>
      </w:tabs>
      <w:spacing w:before="180"/>
      <w:ind w:left="720" w:hanging="720"/>
    </w:pPr>
    <w:rPr>
      <w:rFonts w:ascii="Helvetica" w:hAnsi="Helvetica"/>
      <w:w w:val="90"/>
      <w:sz w:val="22"/>
    </w:rPr>
  </w:style>
  <w:style w:type="paragraph" w:customStyle="1" w:styleId="Footnotes">
    <w:name w:val="Footnotes"/>
    <w:pPr>
      <w:spacing w:before="240"/>
    </w:pPr>
    <w:rPr>
      <w:rFonts w:ascii="Helvetica" w:hAnsi="Helvetica"/>
      <w:w w:val="90"/>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semiHidden/>
    <w:pPr>
      <w:ind w:left="4320"/>
    </w:pPr>
  </w:style>
  <w:style w:type="paragraph" w:styleId="CommentText">
    <w:name w:val="annotation text"/>
    <w:basedOn w:val="Normal"/>
    <w:semiHidden/>
  </w:style>
  <w:style w:type="paragraph" w:styleId="Date">
    <w:name w:val="Date"/>
    <w:basedOn w:val="Normal"/>
    <w:next w:val="Normal"/>
    <w:semiHidden/>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Pr>
      <w:rFonts w:ascii="Arial" w:hAnsi="Arial"/>
    </w:rPr>
  </w:style>
  <w:style w:type="paragraph" w:styleId="FootnoteText">
    <w:name w:val="footnote text"/>
    <w:basedOn w:val="Normal"/>
    <w:semiHidden/>
    <w:rPr>
      <w:rFonts w:ascii="Helvetica" w:hAnsi="Helvetica"/>
      <w:w w:val="9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1"/>
      </w:numPr>
    </w:pPr>
  </w:style>
  <w:style w:type="paragraph" w:styleId="ListBullet2">
    <w:name w:val="List Bullet 2"/>
    <w:basedOn w:val="Normal"/>
    <w:autoRedefine/>
    <w:semiHidden/>
    <w:pPr>
      <w:numPr>
        <w:numId w:val="12"/>
      </w:numPr>
    </w:pPr>
  </w:style>
  <w:style w:type="paragraph" w:styleId="ListBullet3">
    <w:name w:val="List Bullet 3"/>
    <w:basedOn w:val="Normal"/>
    <w:autoRedefine/>
    <w:semiHidden/>
    <w:pPr>
      <w:numPr>
        <w:numId w:val="13"/>
      </w:numPr>
    </w:pPr>
  </w:style>
  <w:style w:type="paragraph" w:styleId="ListBullet4">
    <w:name w:val="List Bullet 4"/>
    <w:basedOn w:val="Normal"/>
    <w:autoRedefine/>
    <w:semiHidden/>
    <w:pPr>
      <w:numPr>
        <w:numId w:val="14"/>
      </w:numPr>
    </w:pPr>
  </w:style>
  <w:style w:type="paragraph" w:styleId="ListBullet5">
    <w:name w:val="List Bullet 5"/>
    <w:basedOn w:val="Normal"/>
    <w:autoRedefine/>
    <w:semiHidden/>
    <w:pPr>
      <w:numPr>
        <w:numId w:val="1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6"/>
      </w:numPr>
    </w:pPr>
  </w:style>
  <w:style w:type="paragraph" w:styleId="ListNumber2">
    <w:name w:val="List Number 2"/>
    <w:basedOn w:val="Normal"/>
    <w:semiHidden/>
    <w:pPr>
      <w:numPr>
        <w:numId w:val="17"/>
      </w:numPr>
    </w:pPr>
  </w:style>
  <w:style w:type="paragraph" w:styleId="ListNumber3">
    <w:name w:val="List Number 3"/>
    <w:basedOn w:val="Normal"/>
    <w:semiHidden/>
    <w:pPr>
      <w:numPr>
        <w:numId w:val="18"/>
      </w:numPr>
    </w:pPr>
  </w:style>
  <w:style w:type="paragraph" w:styleId="ListNumber4">
    <w:name w:val="List Number 4"/>
    <w:basedOn w:val="Normal"/>
    <w:semiHidden/>
    <w:pPr>
      <w:numPr>
        <w:numId w:val="19"/>
      </w:numPr>
    </w:pPr>
  </w:style>
  <w:style w:type="paragraph" w:styleId="ListNumber5">
    <w:name w:val="List Number 5"/>
    <w:basedOn w:val="Normal"/>
    <w:semiHidden/>
    <w:pPr>
      <w:numPr>
        <w:numId w:val="2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sz w:val="16"/>
    </w:rPr>
  </w:style>
  <w:style w:type="paragraph" w:customStyle="1" w:styleId="Level4-ChapterHead">
    <w:name w:val="Level 4-Chapter Head"/>
    <w:pPr>
      <w:suppressAutoHyphens/>
      <w:spacing w:after="520" w:line="360" w:lineRule="exact"/>
    </w:pPr>
    <w:rPr>
      <w:rFonts w:ascii="Helvetica CondensedBlack" w:eastAsia="MS Mincho" w:hAnsi="Helvetica CondensedBlack"/>
      <w:i/>
      <w:color w:val="808080"/>
      <w:sz w:val="32"/>
    </w:rPr>
  </w:style>
  <w:style w:type="character" w:styleId="FootnoteReference">
    <w:name w:val="footnote reference"/>
    <w:basedOn w:val="DefaultParagraphFont"/>
    <w:semiHidden/>
    <w:rPr>
      <w:rFonts w:ascii="Helvetica" w:hAnsi="Helvetica"/>
      <w:sz w:val="20"/>
      <w:vertAlign w:val="superscript"/>
    </w:rPr>
  </w:style>
  <w:style w:type="paragraph" w:customStyle="1" w:styleId="Head1">
    <w:name w:val="* Head1"/>
    <w:basedOn w:val="Normal"/>
    <w:rsid w:val="00E93858"/>
    <w:pPr>
      <w:jc w:val="center"/>
    </w:pPr>
    <w:rPr>
      <w:rFonts w:ascii="Times New Roman Bold" w:hAnsi="Times New Roman Bold"/>
      <w:b/>
      <w:i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AND~1\AppData\Local\Temp\08-Sample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08-SampleDocument.dot</Template>
  <TotalTime>2</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Discussions to Expect From the Independent Auditors</vt:lpstr>
    </vt:vector>
  </TitlesOfParts>
  <Company>Trentypo, Inc.</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Discussions to Expect From the Independent Auditors</dc:title>
  <dc:creator>Jennifer Chandler</dc:creator>
  <cp:lastModifiedBy>Stacy Mavec</cp:lastModifiedBy>
  <cp:revision>4</cp:revision>
  <cp:lastPrinted>2003-01-28T14:49:00Z</cp:lastPrinted>
  <dcterms:created xsi:type="dcterms:W3CDTF">2024-09-10T20:57:00Z</dcterms:created>
  <dcterms:modified xsi:type="dcterms:W3CDTF">2024-09-10T21:05:00Z</dcterms:modified>
</cp:coreProperties>
</file>