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828800" cy="1828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sz w:val="32"/>
          <w:szCs w:val="32"/>
          <w:rtl w:val="0"/>
        </w:rPr>
        <w:t xml:space="preserve">WILLISTON FIGURE SKATING CLUB (WFSC)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REIMBURSEMENT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Policy Number: WFSC-FIN-003</w:t>
      </w:r>
    </w:p>
    <w:p w:rsidR="00000000" w:rsidDel="00000000" w:rsidP="00000000" w:rsidRDefault="00000000" w:rsidRPr="00000000" w14:paraId="00000004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Effective Date: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Jul 1,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Adoption Date: May 13, 2026</w:t>
      </w:r>
    </w:p>
    <w:p w:rsidR="00000000" w:rsidDel="00000000" w:rsidP="00000000" w:rsidRDefault="00000000" w:rsidRPr="00000000" w14:paraId="00000006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Approved By: Board of Directors</w:t>
      </w:r>
    </w:p>
    <w:p w:rsidR="00000000" w:rsidDel="00000000" w:rsidP="00000000" w:rsidRDefault="00000000" w:rsidRPr="00000000" w14:paraId="00000007">
      <w:pPr>
        <w:spacing w:after="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Version: 1.0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114300" distT="114300" distL="114300" distR="114300">
            <wp:extent cx="12984480" cy="1828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84480" cy="18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1.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policy establishes the requirements and procedures for reimbursement of expenses incurred on behalf of WFSC. It ensures accountability, transparency, and proper documentation of all reimbursements.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2. 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policy applies to all WFSC Board Members, Officers, coaches, and authorized individuals requesting reimbursement.</w:t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3. Policy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WFSC will reimburse only those expenses that are reasonable, necessary, and directly related to club operations. All reimbursements must comply with WFSC financial policies.</w:t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4. Eligible Expenses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Reimbursable expenses may include: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Pre-approved program or event expenses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Supplies and materials for WFSC activities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Authorized travel or administrative costs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expenses approved in advance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5. Non-Eligible Expenses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following expenses are not reimbursable: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Personal expenses unrelated to WFSC operations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Expenses without prior approval (unless emergency)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Alcohol, gifts, or discretionary personal items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Expenses lacking proper documentation</w:t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6. Approval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All reimbursement requests must follow approval thresholds in FIN-001.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individual may approve their own reimbursement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Reimbursements must be reviewed and approved prior to payment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Higher-value reimbursements may require Board approval</w:t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7. Documentation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All reimbursement requests must include: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Completed reimbursement request (email or form)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Original receipts or proof of payment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 of expense and purpose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and amount of transaction</w:t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8. Submission Timeline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Reimbursement requests must be submitted promptly.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Recommended within 30 days of expense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Late submissions may be denied or require Board approval</w:t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9. Payment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Treasurer is responsible for processing reimbursements.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Verify documentation and approvals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compliance with budget and policies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Issue payment in a timely manner</w:t>
      </w:r>
    </w:p>
    <w:p w:rsidR="00000000" w:rsidDel="00000000" w:rsidP="00000000" w:rsidRDefault="00000000" w:rsidRPr="00000000" w14:paraId="0000002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10. Enforcement &amp; Compliance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Failure to comply with this policy may result in: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Denial of reimbursement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review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restrictions on spending authority</w:t>
      </w:r>
    </w:p>
    <w:p w:rsidR="00000000" w:rsidDel="00000000" w:rsidP="00000000" w:rsidRDefault="00000000" w:rsidRPr="00000000" w14:paraId="0000003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11. Exceptions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Exceptions may be granted only when: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Clearly justified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Documented in writing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Approved by the Board of Directors</w:t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12. Adoption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Approved by majority vote of the WFSC Board of Directors on: May 13, 2026</w:t>
      </w:r>
    </w:p>
    <w:p w:rsidR="00000000" w:rsidDel="00000000" w:rsidP="00000000" w:rsidRDefault="00000000" w:rsidRPr="00000000" w14:paraId="0000003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8c99"/>
          <w:rtl w:val="0"/>
        </w:rPr>
        <w:t xml:space="preserve">13. Policy Revision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Version 1.0 | May 2026 | Initial adoption | Board of Directors</w:t>
      </w:r>
    </w:p>
    <w:sectPr>
      <w:footerReference r:id="rId9" w:type="default"/>
      <w:pgSz w:h="15840" w:w="12240" w:orient="portrait"/>
      <w:pgMar w:bottom="720" w:top="720" w:left="1008" w:right="1008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WFSC-FIN-003 | Version 1.0 | Adopted 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 xml:space="preserve">May 2026</w:t>
    </w: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| Williston Figure Skating Club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ayDY3b6cbTmyyz05/Sczu0uwg==">CgMxLjA4AHIhMVNJMm84d0tWWjA4c0VzRUZUR3RPVHBqb3B0WW1CUnJW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