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F5C4" w14:textId="347BABB9" w:rsidR="004A7E79" w:rsidRDefault="004A7E79" w:rsidP="004A7E79">
      <w:pPr>
        <w:pageBreakBefore/>
        <w:spacing w:line="240" w:lineRule="auto"/>
        <w:jc w:val="center"/>
        <w:rPr>
          <w:b/>
          <w:bCs/>
          <w:sz w:val="40"/>
          <w:szCs w:val="40"/>
        </w:rPr>
      </w:pPr>
      <w:r w:rsidRPr="001C0D09">
        <w:rPr>
          <w:b/>
          <w:bCs/>
          <w:sz w:val="40"/>
          <w:szCs w:val="40"/>
        </w:rPr>
        <w:t>202</w:t>
      </w:r>
      <w:r w:rsidR="008D2445">
        <w:rPr>
          <w:b/>
          <w:bCs/>
          <w:sz w:val="40"/>
          <w:szCs w:val="40"/>
        </w:rPr>
        <w:t>5</w:t>
      </w:r>
      <w:r w:rsidRPr="001C0D09">
        <w:rPr>
          <w:b/>
          <w:bCs/>
          <w:sz w:val="40"/>
          <w:szCs w:val="40"/>
        </w:rPr>
        <w:t xml:space="preserve"> Thanksgiving Classic Tournament Rules</w:t>
      </w:r>
    </w:p>
    <w:p w14:paraId="4BB154F1" w14:textId="77777777" w:rsidR="004A7E79" w:rsidRPr="00B4131C" w:rsidRDefault="004A7E79" w:rsidP="004A7E79">
      <w:pPr>
        <w:pStyle w:val="ListParagraph"/>
        <w:numPr>
          <w:ilvl w:val="0"/>
          <w:numId w:val="1"/>
        </w:numPr>
        <w:spacing w:line="240" w:lineRule="auto"/>
      </w:pPr>
      <w:r w:rsidRPr="00B4131C">
        <w:t>USA Hockey registered referees will be used.</w:t>
      </w:r>
    </w:p>
    <w:p w14:paraId="6D147B3D" w14:textId="77777777" w:rsidR="004A7E79" w:rsidRPr="00B4131C" w:rsidRDefault="004A7E79" w:rsidP="004A7E79">
      <w:pPr>
        <w:pStyle w:val="ListParagraph"/>
        <w:numPr>
          <w:ilvl w:val="0"/>
          <w:numId w:val="1"/>
        </w:numPr>
        <w:spacing w:line="240" w:lineRule="auto"/>
      </w:pPr>
      <w:r w:rsidRPr="00B4131C">
        <w:t>Medical Personnel as recognized by USA Hockey will be present at the facility</w:t>
      </w:r>
      <w:r>
        <w:t>.</w:t>
      </w:r>
    </w:p>
    <w:p w14:paraId="45C8BD42" w14:textId="77777777" w:rsidR="004A7E79" w:rsidRPr="00B4131C" w:rsidRDefault="004A7E79" w:rsidP="004A7E79">
      <w:pPr>
        <w:pStyle w:val="ListParagraph"/>
        <w:numPr>
          <w:ilvl w:val="0"/>
          <w:numId w:val="1"/>
        </w:numPr>
        <w:spacing w:line="240" w:lineRule="auto"/>
      </w:pPr>
      <w:r w:rsidRPr="00B4131C">
        <w:t>All games will be played under USA Hockey rules as modified by MN Hockey and the exceptions as listed.</w:t>
      </w:r>
    </w:p>
    <w:p w14:paraId="41116E9C" w14:textId="77777777" w:rsidR="004A7E79" w:rsidRPr="00B4131C" w:rsidRDefault="004A7E79" w:rsidP="004A7E79">
      <w:pPr>
        <w:pStyle w:val="ListParagraph"/>
        <w:numPr>
          <w:ilvl w:val="0"/>
          <w:numId w:val="1"/>
        </w:numPr>
        <w:spacing w:line="240" w:lineRule="auto"/>
      </w:pPr>
      <w:r w:rsidRPr="00B4131C">
        <w:t>All fees must be fully paid prior to the first game.</w:t>
      </w:r>
    </w:p>
    <w:p w14:paraId="54CD2426" w14:textId="77777777" w:rsidR="004A7E79" w:rsidRPr="00B4131C" w:rsidRDefault="004A7E79" w:rsidP="004A7E79">
      <w:pPr>
        <w:pStyle w:val="ListParagraph"/>
        <w:numPr>
          <w:ilvl w:val="0"/>
          <w:numId w:val="1"/>
        </w:numPr>
        <w:spacing w:line="240" w:lineRule="auto"/>
      </w:pPr>
      <w:r w:rsidRPr="00B4131C">
        <w:t>All credentials will be presented prior to the teams’ first game.  No exceptions will be allowed.  Please have the following documents:</w:t>
      </w:r>
    </w:p>
    <w:p w14:paraId="5CF09899" w14:textId="77777777" w:rsidR="004A7E79" w:rsidRPr="00B4131C" w:rsidRDefault="004A7E79" w:rsidP="004A7E79">
      <w:pPr>
        <w:pStyle w:val="ListParagraph"/>
        <w:numPr>
          <w:ilvl w:val="1"/>
          <w:numId w:val="1"/>
        </w:numPr>
        <w:spacing w:line="240" w:lineRule="auto"/>
      </w:pPr>
      <w:r w:rsidRPr="00B4131C">
        <w:t>A copy of the players and coaches USA Hockey or Canadian equivalent Individual Membership Registration Form.  If registered electronically, not required.</w:t>
      </w:r>
    </w:p>
    <w:p w14:paraId="151B1AC6" w14:textId="77777777" w:rsidR="004A7E79" w:rsidRPr="00B4131C" w:rsidRDefault="004A7E79" w:rsidP="004A7E79">
      <w:pPr>
        <w:pStyle w:val="ListParagraph"/>
        <w:numPr>
          <w:ilvl w:val="1"/>
          <w:numId w:val="1"/>
        </w:numPr>
        <w:spacing w:line="240" w:lineRule="auto"/>
      </w:pPr>
      <w:r w:rsidRPr="00B4131C">
        <w:t xml:space="preserve">Proof of team insurance/Rosters – Signed/stamped roster by District Registrar or his or her designee.  Canadian teams need to have a travel voucher. </w:t>
      </w:r>
    </w:p>
    <w:p w14:paraId="4BDED4B4" w14:textId="77777777" w:rsidR="004A7E79" w:rsidRPr="00B4131C" w:rsidRDefault="004A7E79" w:rsidP="004A7E79">
      <w:pPr>
        <w:pStyle w:val="ListParagraph"/>
        <w:numPr>
          <w:ilvl w:val="0"/>
          <w:numId w:val="1"/>
        </w:numPr>
        <w:spacing w:line="240" w:lineRule="auto"/>
      </w:pPr>
      <w:r w:rsidRPr="00B4131C">
        <w:t>All games will be played under the “no protest rules”. The referees’ decision is final.</w:t>
      </w:r>
    </w:p>
    <w:p w14:paraId="3E92CEC3" w14:textId="77777777" w:rsidR="004A7E79" w:rsidRPr="00B4131C" w:rsidRDefault="004A7E79" w:rsidP="004A7E79">
      <w:pPr>
        <w:pStyle w:val="ListParagraph"/>
        <w:numPr>
          <w:ilvl w:val="0"/>
          <w:numId w:val="1"/>
        </w:numPr>
        <w:spacing w:line="240" w:lineRule="auto"/>
      </w:pPr>
      <w:r w:rsidRPr="00B4131C">
        <w:t>Ice will be resurfaced BEFORE each game (not every 2 periods)</w:t>
      </w:r>
    </w:p>
    <w:p w14:paraId="2112F2B9" w14:textId="77777777" w:rsidR="004A7E79" w:rsidRPr="00B4131C" w:rsidRDefault="004A7E79" w:rsidP="004A7E79">
      <w:pPr>
        <w:pStyle w:val="ListParagraph"/>
        <w:numPr>
          <w:ilvl w:val="0"/>
          <w:numId w:val="1"/>
        </w:numPr>
        <w:spacing w:line="240" w:lineRule="auto"/>
      </w:pPr>
      <w:r w:rsidRPr="00B4131C">
        <w:t>Any player or coach who has a game misconduct penalty is out of that game and the next game and cannot be on the player’s bench.  In the case where a game misconduct, gross misconduct, or match penalty has been assessed the incident shall be reported to the MN Hockey district director within five days of the incident.</w:t>
      </w:r>
    </w:p>
    <w:p w14:paraId="6EF65B8D" w14:textId="77777777" w:rsidR="004A7E79" w:rsidRPr="00B4131C" w:rsidRDefault="004A7E79" w:rsidP="004A7E79">
      <w:pPr>
        <w:pStyle w:val="ListParagraph"/>
        <w:numPr>
          <w:ilvl w:val="0"/>
          <w:numId w:val="1"/>
        </w:numPr>
        <w:spacing w:line="240" w:lineRule="auto"/>
      </w:pPr>
      <w:r w:rsidRPr="00B4131C">
        <w:t>Games will consist of three periods: 12 minutes each (stop time).  Game time will be 1 hour in length.  The tournament organizers shall have the right to change the final period to running time (1</w:t>
      </w:r>
      <w:r>
        <w:t>5</w:t>
      </w:r>
      <w:r w:rsidRPr="00B4131C">
        <w:t xml:space="preserve"> minutes) in the event an emergency causes delays in the tournament schedule.  Penalties will consist of 1</w:t>
      </w:r>
      <w:r>
        <w:t>.5</w:t>
      </w:r>
      <w:r w:rsidRPr="00B4131C">
        <w:t xml:space="preserve"> minute</w:t>
      </w:r>
      <w:r>
        <w:t>s</w:t>
      </w:r>
      <w:r w:rsidRPr="00B4131C">
        <w:t xml:space="preserve"> for a minor, 5 min for a major, and 10 min for a misconduct.  All major penalties will now include a game misconduct.</w:t>
      </w:r>
    </w:p>
    <w:p w14:paraId="7C2320D6" w14:textId="77777777" w:rsidR="004A7E79" w:rsidRPr="00B4131C" w:rsidRDefault="004A7E79" w:rsidP="004A7E79">
      <w:pPr>
        <w:pStyle w:val="ListParagraph"/>
        <w:numPr>
          <w:ilvl w:val="0"/>
          <w:numId w:val="1"/>
        </w:numPr>
        <w:spacing w:line="240" w:lineRule="auto"/>
      </w:pPr>
      <w:r w:rsidRPr="00B4131C">
        <w:t>Each team will be allowed (1) 1 minute time out.</w:t>
      </w:r>
    </w:p>
    <w:p w14:paraId="6AAFB23E" w14:textId="77777777" w:rsidR="004A7E79" w:rsidRPr="00B4131C" w:rsidRDefault="004A7E79" w:rsidP="004A7E79">
      <w:pPr>
        <w:pStyle w:val="ListParagraph"/>
        <w:numPr>
          <w:ilvl w:val="0"/>
          <w:numId w:val="1"/>
        </w:numPr>
        <w:spacing w:line="240" w:lineRule="auto"/>
      </w:pPr>
      <w:r w:rsidRPr="00B4131C">
        <w:t>The clock will stop for injuries, goals, and penalties.</w:t>
      </w:r>
      <w:r>
        <w:t xml:space="preserve">  </w:t>
      </w:r>
      <w:r w:rsidRPr="00B4131C">
        <w:t>If any team is ahead by 7 or more goals in the 2</w:t>
      </w:r>
      <w:r w:rsidRPr="00B4131C">
        <w:rPr>
          <w:vertAlign w:val="superscript"/>
        </w:rPr>
        <w:t>nd</w:t>
      </w:r>
      <w:r w:rsidRPr="00B4131C">
        <w:t xml:space="preserve"> period, running time will be issued.  I</w:t>
      </w:r>
      <w:r>
        <w:t>f</w:t>
      </w:r>
      <w:r w:rsidRPr="00B4131C">
        <w:t xml:space="preserve"> a team is ahead by 5 or more goals in the 3</w:t>
      </w:r>
      <w:r w:rsidRPr="00B4131C">
        <w:rPr>
          <w:vertAlign w:val="superscript"/>
        </w:rPr>
        <w:t>rd</w:t>
      </w:r>
      <w:r w:rsidRPr="00B4131C">
        <w:t xml:space="preserve"> period, it shall be running time.  </w:t>
      </w:r>
    </w:p>
    <w:p w14:paraId="7155E224" w14:textId="77777777" w:rsidR="004A7E79" w:rsidRPr="00B4131C" w:rsidRDefault="004A7E79" w:rsidP="004A7E79">
      <w:pPr>
        <w:pStyle w:val="ListParagraph"/>
        <w:numPr>
          <w:ilvl w:val="0"/>
          <w:numId w:val="1"/>
        </w:numPr>
        <w:spacing w:line="240" w:lineRule="auto"/>
      </w:pPr>
      <w:r w:rsidRPr="00B4131C">
        <w:t>Games may start up to 15 minutes early, if ahead of schedule.  Teams need to be prepared in the event this occurs.</w:t>
      </w:r>
    </w:p>
    <w:p w14:paraId="06D17552" w14:textId="5E89D3F3" w:rsidR="004A7E79" w:rsidRPr="00B4131C" w:rsidRDefault="004A7E79" w:rsidP="004A7E79">
      <w:pPr>
        <w:pStyle w:val="ListParagraph"/>
        <w:numPr>
          <w:ilvl w:val="0"/>
          <w:numId w:val="1"/>
        </w:numPr>
        <w:spacing w:line="240" w:lineRule="auto"/>
      </w:pPr>
      <w:r w:rsidRPr="00B4131C">
        <w:t>In single elimination play or in championship round play of a round-robin division, ties will be broken by 1 ½ minute rest period, followed by a 5-min 4x4 sudden victory over-time.  If teams are still tied, there will be a 3</w:t>
      </w:r>
      <w:r>
        <w:t>-</w:t>
      </w:r>
      <w:r w:rsidRPr="00B4131C">
        <w:t>player shoot-out.  If after the 3</w:t>
      </w:r>
      <w:r>
        <w:t>-</w:t>
      </w:r>
      <w:r w:rsidRPr="00B4131C">
        <w:t xml:space="preserve">player shoot out, there is still a tie </w:t>
      </w:r>
      <w:proofErr w:type="gramStart"/>
      <w:r w:rsidRPr="00B4131C">
        <w:t>shooters</w:t>
      </w:r>
      <w:proofErr w:type="gramEnd"/>
      <w:r w:rsidRPr="00B4131C">
        <w:t xml:space="preserve"> will alternate shots and there will be a sudden victory after one shooter </w:t>
      </w:r>
      <w:proofErr w:type="gramStart"/>
      <w:r w:rsidRPr="00B4131C">
        <w:t>scores</w:t>
      </w:r>
      <w:proofErr w:type="gramEnd"/>
      <w:r w:rsidRPr="00B4131C">
        <w:t xml:space="preserve"> and one does not.  Players cannot shoot twice unless the entire roster has taken a shot.</w:t>
      </w:r>
    </w:p>
    <w:p w14:paraId="2C8E702E" w14:textId="6A70D3B4" w:rsidR="004A7E79" w:rsidRPr="00B4131C" w:rsidRDefault="004A7E79" w:rsidP="004A7E79">
      <w:pPr>
        <w:pStyle w:val="ListParagraph"/>
        <w:numPr>
          <w:ilvl w:val="0"/>
          <w:numId w:val="1"/>
        </w:numPr>
        <w:spacing w:line="240" w:lineRule="auto"/>
      </w:pPr>
      <w:r w:rsidRPr="00B4131C">
        <w:t>In round robin play each team will be awarded 2 points for a win, 1 point for a tie, and 0 points for a loss, and 1 point for a shutout.  Tie breakers for round robin play (A Championship round seeding) 1. Head-to-head 2. Goal differential (max 8) 3. Fewest goals allowed 4. Shutouts 5. Opponents win loss record 6. Coin Toss.</w:t>
      </w:r>
    </w:p>
    <w:p w14:paraId="6F7260B0" w14:textId="77777777" w:rsidR="004A7E79" w:rsidRDefault="004A7E79" w:rsidP="004A7E79">
      <w:pPr>
        <w:pStyle w:val="ListParagraph"/>
        <w:numPr>
          <w:ilvl w:val="0"/>
          <w:numId w:val="1"/>
        </w:numPr>
        <w:spacing w:line="240" w:lineRule="auto"/>
      </w:pPr>
      <w:r w:rsidRPr="00B4131C">
        <w:t>Ho</w:t>
      </w:r>
      <w:r>
        <w:t>m</w:t>
      </w:r>
      <w:r w:rsidRPr="00B4131C">
        <w:t>e team is first team listed on each game, and will where white/light colored jerseys as home team</w:t>
      </w:r>
    </w:p>
    <w:p w14:paraId="67150B59" w14:textId="77777777" w:rsidR="004A7E79" w:rsidRDefault="004A7E79"/>
    <w:sectPr w:rsidR="004A7E79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390A" w14:textId="77777777" w:rsidR="00D7569C" w:rsidRDefault="00D7569C" w:rsidP="004A7E79">
      <w:pPr>
        <w:spacing w:after="0" w:line="240" w:lineRule="auto"/>
      </w:pPr>
      <w:r>
        <w:separator/>
      </w:r>
    </w:p>
  </w:endnote>
  <w:endnote w:type="continuationSeparator" w:id="0">
    <w:p w14:paraId="1D6042D6" w14:textId="77777777" w:rsidR="00D7569C" w:rsidRDefault="00D7569C" w:rsidP="004A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1861" w14:textId="247EB0EC" w:rsidR="004A7E79" w:rsidRDefault="004A7E7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561AB1" wp14:editId="28EE37C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46910" cy="357505"/>
              <wp:effectExtent l="0" t="0" r="15240" b="0"/>
              <wp:wrapNone/>
              <wp:docPr id="1207014077" name="Text Box 2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69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1AF308" w14:textId="2FEA3D7E" w:rsidR="004A7E79" w:rsidRPr="004A7E79" w:rsidRDefault="004A7E79" w:rsidP="004A7E7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7E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61A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Public" style="position:absolute;margin-left:0;margin-top:0;width:153.3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71AF308" w14:textId="2FEA3D7E" w:rsidR="004A7E79" w:rsidRPr="004A7E79" w:rsidRDefault="004A7E79" w:rsidP="004A7E7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7E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9A8" w14:textId="484B9DFF" w:rsidR="004A7E79" w:rsidRDefault="004A7E7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F9167B" wp14:editId="5EB3F3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46910" cy="357505"/>
              <wp:effectExtent l="0" t="0" r="15240" b="0"/>
              <wp:wrapNone/>
              <wp:docPr id="433574756" name="Text Box 3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69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9382E0" w14:textId="3F108A8A" w:rsidR="004A7E79" w:rsidRPr="004A7E79" w:rsidRDefault="004A7E79" w:rsidP="004A7E7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7E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916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Public" style="position:absolute;margin-left:0;margin-top:0;width:153.3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D9382E0" w14:textId="3F108A8A" w:rsidR="004A7E79" w:rsidRPr="004A7E79" w:rsidRDefault="004A7E79" w:rsidP="004A7E7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7E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894D" w14:textId="7D9CEDD8" w:rsidR="004A7E79" w:rsidRDefault="004A7E7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5D7D98" wp14:editId="6641B4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46910" cy="357505"/>
              <wp:effectExtent l="0" t="0" r="15240" b="0"/>
              <wp:wrapNone/>
              <wp:docPr id="363720124" name="Text Box 1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69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5C85C3" w14:textId="0D844CAE" w:rsidR="004A7E79" w:rsidRPr="004A7E79" w:rsidRDefault="004A7E79" w:rsidP="004A7E7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7E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D7D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Public" style="position:absolute;margin-left:0;margin-top:0;width:153.3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95C85C3" w14:textId="0D844CAE" w:rsidR="004A7E79" w:rsidRPr="004A7E79" w:rsidRDefault="004A7E79" w:rsidP="004A7E7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7E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09E12" w14:textId="77777777" w:rsidR="00D7569C" w:rsidRDefault="00D7569C" w:rsidP="004A7E79">
      <w:pPr>
        <w:spacing w:after="0" w:line="240" w:lineRule="auto"/>
      </w:pPr>
      <w:r>
        <w:separator/>
      </w:r>
    </w:p>
  </w:footnote>
  <w:footnote w:type="continuationSeparator" w:id="0">
    <w:p w14:paraId="21E5749E" w14:textId="77777777" w:rsidR="00D7569C" w:rsidRDefault="00D7569C" w:rsidP="004A7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425E2"/>
    <w:multiLevelType w:val="hybridMultilevel"/>
    <w:tmpl w:val="1AE2C7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79"/>
    <w:rsid w:val="004A7E79"/>
    <w:rsid w:val="00554468"/>
    <w:rsid w:val="007F2951"/>
    <w:rsid w:val="008D2445"/>
    <w:rsid w:val="009437A4"/>
    <w:rsid w:val="00D7569C"/>
    <w:rsid w:val="00DC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EE186"/>
  <w15:chartTrackingRefBased/>
  <w15:docId w15:val="{95902C58-3A63-4181-B583-A340AD13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E7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7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E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E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E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E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E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E7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A7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E7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e55d167-d1d8-42be-b134-1b633d18fe45}" enabled="1" method="Privileged" siteId="{c14859fd-9ee0-4988-adb5-155bee83443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2524</Characters>
  <Application>Microsoft Office Word</Application>
  <DocSecurity>0</DocSecurity>
  <Lines>21</Lines>
  <Paragraphs>5</Paragraphs>
  <ScaleCrop>false</ScaleCrop>
  <Company>ALLETE, Inc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Stolp (ALLETE)</dc:creator>
  <cp:keywords/>
  <dc:description/>
  <cp:lastModifiedBy>Clare Markley</cp:lastModifiedBy>
  <cp:revision>3</cp:revision>
  <dcterms:created xsi:type="dcterms:W3CDTF">2025-10-31T20:02:00Z</dcterms:created>
  <dcterms:modified xsi:type="dcterms:W3CDTF">2025-10-31T20:03:00Z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15adedbc,47f192bd,19d7d364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Information Classification: Public</vt:lpwstr>
  </property>
</Properties>
</file>