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0" distT="0" distL="0" distR="0">
            <wp:extent cx="2381165" cy="1981839"/>
            <wp:effectExtent b="0" l="0" r="0" t="0"/>
            <wp:docPr descr="A logo of a bear with crossed hockey sticks&#10;&#10;AI-generated content may be incorrect." id="1997188147" name="image1.png"/>
            <a:graphic>
              <a:graphicData uri="http://schemas.openxmlformats.org/drawingml/2006/picture">
                <pic:pic>
                  <pic:nvPicPr>
                    <pic:cNvPr descr="A logo of a bear with crossed hockey sticks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165" cy="19818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IYHA BOD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Monday, March 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, 2026</w:t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7:00pm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Attendance:</w:t>
      </w:r>
      <w:r w:rsidDel="00000000" w:rsidR="00000000" w:rsidRPr="00000000">
        <w:rPr>
          <w:rtl w:val="0"/>
        </w:rPr>
        <w:t xml:space="preserve"> Chris H, Ukiah K, Skip P, Jeff S, Michelle M, Jillian E, Jen C, Cara N, Elissa C, Adam L (zoom), 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President’s Summary/Call to Order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Banquet: March 17th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announced on socia</w:t>
      </w:r>
      <w:r w:rsidDel="00000000" w:rsidR="00000000" w:rsidRPr="00000000">
        <w:rPr>
          <w:rtl w:val="0"/>
        </w:rPr>
        <w:t xml:space="preserve">ls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Commitment forms for 10U and 12U have been returned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Gates Cup - March 8th was successful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Cup to be engraved with the teams who’ve won over the past years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Treasurer's Report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Financials updated with some tournament fees still outstanding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Lynah and Cass bills outstanding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Jerseys still outstanding and board will reach out to those families in an attempt to collect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 “Donate Your Gear” day prior to Try Hockey in ‘26/’27 season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Proposal to purchase quick change goalie sets for Mites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Jersey ordering will be separate from player registration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Secretary’s Report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February minutes; </w:t>
      </w:r>
      <w:r w:rsidDel="00000000" w:rsidR="00000000" w:rsidRPr="00000000">
        <w:rPr>
          <w:rtl w:val="0"/>
        </w:rPr>
        <w:t xml:space="preserve">approved by Jen C, and seconded by Skip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Scheduler’s Report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Tryout dates for 14U will be April 1 and April 4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Survey the registered individuals on possible conflict during April break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Snowbelt Report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Moving Mites to every other week as a 2 practice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Registrar’s Report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No new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 of Travel teams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Forms are signed for 10U and 12U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14U tryouts are at 26 players at this point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 of Ace/Safesport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No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 of Fundraising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Cash donations can be given at the banquet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Banners and trophies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and Promotions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Reaching out to LTP families for possible donations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Call for board members (3 new needed)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right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right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adjourned by: Cara N, Ukiah K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E708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E708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E708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E708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E708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E708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E708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708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E708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E708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E708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E708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E708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E708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E708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E708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E708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E708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E708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708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E708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oPXPDgoUW1TlAbQeyFJNFB0D+Q==">CgMxLjA4AHIhMVBxbFlzVmpvOW9FUzdxVnRUb20tRkh3T2RhMDRwc1Ji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2026-03-09T21:51:00Z</dcterms:created>
  <dc:creator>Christopher Hart</dc:creator>
</cp:coreProperties>
</file>